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pPr>
      <w:r>
        <w:rPr>
          <w:rFonts w:ascii="Times New Roman" w:cs="Times New Roman" w:eastAsia="Times New Roman" w:hAnsi="Times New Roman"/>
          <w:b/>
          <w:bCs/>
          <w:sz w:val="24"/>
          <w:szCs w:val="24"/>
        </w:rPr>
        <w:t xml:space="preserve">Phần I. Câu trắc nghiệm nhiều phương án lựa chọn. Thí sinh trả lời từ câu 1 đến câu 24. Mỗi câu hỏi thí sinh chỉ chọn một phương án.</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Tăng trưởng kinh tế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gia tăng về quy mô sản lượng của nền kinh tế trong một thời kì nhất định so với thời kì gốc.</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giảm tỉ lệ thất nghiệp trong nền kinh tế.</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tiến bộ về mọi mặt của xã hội.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thay đổi cơ cấu kinh tế theo hướng hiện đại.</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Chỉ tiêu nào sau đây thường được dùng để đo lường tăng trưởng kinh tế của một quốc gia?</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số phát triển con người (HDI).</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Tổng sản phẩm quốc nội (GDP).</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hộ nghèo.</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Tuổi thọ trung bình.</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Phát triển bền vững là sự phát triển</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ưu tiên khai thác tối đa tài nguyên thiên nhiên.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tập trung vào tốc độ tăng trưởng kinh tế cao.</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đáp ứng nhu cầu hiện tại mà không làm tổn hại đến khả năng đáp ứng nhu cầu của các thế hệ tương lai.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chú trọng bảo vệ môi trường.</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Việc Việt Nam và Nhật Bản kí Hiệp định Đối tác kinh tế là biểu hiện của hình thức hội nhập kinh tế quốc tế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nhập toàn cầu.</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nhập khu vực.</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nhập đa phương toàn cầu.</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nhập song phương.</w:t>
      </w:r>
    </w:p>
    <w:p>
      <w:pPr>
        <w:spacing w:after="40" w:line="276"/>
      </w:pPr>
      <w:r>
        <w:rPr>
          <w:rFonts w:ascii="Times New Roman" w:cs="Times New Roman" w:eastAsia="Times New Roman" w:hAnsi="Times New Roman"/>
          <w:b/>
          <w:bCs/>
          <w:sz w:val="24"/>
          <w:szCs w:val="24"/>
        </w:rPr>
        <w:t xml:space="preserve">Câu 5. </w:t>
      </w:r>
      <w:r>
        <w:rPr>
          <w:rFonts w:ascii="Times New Roman" w:cs="Times New Roman" w:eastAsia="Times New Roman" w:hAnsi="Times New Roman"/>
          <w:sz w:val="24"/>
          <w:szCs w:val="24"/>
        </w:rPr>
        <w:t xml:space="preserve">Năm 2007, Việt Nam trở thành thành viên của tổ chức kinh tế toàn cầu nào?</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Tổ chức Thương mại thế giới (WTO).</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Liên minh châu Âu (EU).</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Hiệp hội các quốc gia Đông Nam Á (ASEAN).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Diễn đàn Hợp tác kinh tế châu Á – Thái Bình Dương (APEC).</w:t>
      </w:r>
    </w:p>
    <w:p>
      <w:pPr>
        <w:spacing w:after="40" w:line="276"/>
      </w:pPr>
      <w:r>
        <w:rPr>
          <w:rFonts w:ascii="Times New Roman" w:cs="Times New Roman" w:eastAsia="Times New Roman" w:hAnsi="Times New Roman"/>
          <w:b/>
          <w:bCs/>
          <w:sz w:val="24"/>
          <w:szCs w:val="24"/>
        </w:rPr>
        <w:t xml:space="preserve">Câu 6. </w:t>
      </w:r>
      <w:r>
        <w:rPr>
          <w:rFonts w:ascii="Times New Roman" w:cs="Times New Roman" w:eastAsia="Times New Roman" w:hAnsi="Times New Roman"/>
          <w:sz w:val="24"/>
          <w:szCs w:val="24"/>
        </w:rPr>
        <w:t xml:space="preserve">Loại hình bảo hiểm do Nhà nước tổ chức, không vì mục đích lợi nhuận, nhằm bảo đảm thay thế hoặc bù đắp một phần thu nhập của người lao động khi họ bị giảm hoặc mất thu nhập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nhân thọ.</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xã hội.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du lịch.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tài sản.</w:t>
      </w:r>
    </w:p>
    <w:p>
      <w:pPr>
        <w:spacing w:after="40" w:line="276"/>
      </w:pPr>
      <w:r>
        <w:rPr>
          <w:rFonts w:ascii="Times New Roman" w:cs="Times New Roman" w:eastAsia="Times New Roman" w:hAnsi="Times New Roman"/>
          <w:b/>
          <w:bCs/>
          <w:sz w:val="24"/>
          <w:szCs w:val="24"/>
        </w:rPr>
        <w:t xml:space="preserve">Câu 7. </w:t>
      </w:r>
      <w:r>
        <w:rPr>
          <w:rFonts w:ascii="Times New Roman" w:cs="Times New Roman" w:eastAsia="Times New Roman" w:hAnsi="Times New Roman"/>
          <w:sz w:val="24"/>
          <w:szCs w:val="24"/>
        </w:rPr>
        <w:t xml:space="preserve">Chính sách hỗ trợ tiền mặt cho người cao tuổi cô đơn, không nơi nương tựa thuộc nhóm chính sách an sinh xã hội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Hỗ trợ việc làm.</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y tế.</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Trợ giúp xã hội.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thất nghiệp.</w:t>
      </w:r>
    </w:p>
    <w:p>
      <w:pPr>
        <w:spacing w:after="40" w:line="276"/>
      </w:pPr>
      <w:r>
        <w:rPr>
          <w:rFonts w:ascii="Times New Roman" w:cs="Times New Roman" w:eastAsia="Times New Roman" w:hAnsi="Times New Roman"/>
          <w:b/>
          <w:bCs/>
          <w:sz w:val="24"/>
          <w:szCs w:val="24"/>
        </w:rPr>
        <w:t xml:space="preserve">Câu 8. </w:t>
      </w:r>
      <w:r>
        <w:rPr>
          <w:rFonts w:ascii="Times New Roman" w:cs="Times New Roman" w:eastAsia="Times New Roman" w:hAnsi="Times New Roman"/>
          <w:sz w:val="24"/>
          <w:szCs w:val="24"/>
        </w:rPr>
        <w:t xml:space="preserve">Nội dung nào sau đây không thuộc kế hoạch kinh doanh?</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Kế hoạch marketing.</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Kế hoạch tài chính.</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Phân tích thị trường và khách hàng.</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Kế hoạch du lịch nghỉ dưỡng của chủ doanh nghiệp.</w:t>
      </w:r>
    </w:p>
    <w:p>
      <w:pPr>
        <w:spacing w:after="40" w:line="276"/>
      </w:pPr>
      <w:r>
        <w:rPr>
          <w:rFonts w:ascii="Times New Roman" w:cs="Times New Roman" w:eastAsia="Times New Roman" w:hAnsi="Times New Roman"/>
          <w:b/>
          <w:bCs/>
          <w:sz w:val="24"/>
          <w:szCs w:val="24"/>
        </w:rPr>
        <w:t xml:space="preserve">Câu 9. </w:t>
      </w:r>
      <w:r>
        <w:rPr>
          <w:rFonts w:ascii="Times New Roman" w:cs="Times New Roman" w:eastAsia="Times New Roman" w:hAnsi="Times New Roman"/>
          <w:sz w:val="24"/>
          <w:szCs w:val="24"/>
        </w:rPr>
        <w:t xml:space="preserve">Trách nhiệm xã hội của doanh nghiệp bao gồm các loại trách nhiệm:</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kinh tế, pháp lí, đạo đức và nhân văn.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có trách nhiệm đạo đức.</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có trách nhiệm kinh tế.</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chính trị, quân sự và ngoại giao.</w:t>
      </w:r>
    </w:p>
    <w:p>
      <w:pPr>
        <w:spacing w:after="40" w:line="276"/>
      </w:pPr>
      <w:r>
        <w:rPr>
          <w:rFonts w:ascii="Times New Roman" w:cs="Times New Roman" w:eastAsia="Times New Roman" w:hAnsi="Times New Roman"/>
          <w:b/>
          <w:bCs/>
          <w:sz w:val="24"/>
          <w:szCs w:val="24"/>
        </w:rPr>
        <w:t xml:space="preserve">Câu 10. </w:t>
      </w:r>
      <w:r>
        <w:rPr>
          <w:rFonts w:ascii="Times New Roman" w:cs="Times New Roman" w:eastAsia="Times New Roman" w:hAnsi="Times New Roman"/>
          <w:sz w:val="24"/>
          <w:szCs w:val="24"/>
        </w:rPr>
        <w:t xml:space="preserve">Trong quản lí thu, chi của gia đình, khoản chi nào sau đây là khoản chi thiết yếu?</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Tiền đi du lịch nước ngoài.</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Tiền mua đồ chơi sưu tầm.</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Tiền ăn uống hằng ngày.</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Tiền mua đồ trang sức đắt tiền.</w:t>
      </w:r>
    </w:p>
    <w:p>
      <w:pPr>
        <w:spacing w:after="40" w:line="276"/>
      </w:pPr>
      <w:r>
        <w:rPr>
          <w:rFonts w:ascii="Times New Roman" w:cs="Times New Roman" w:eastAsia="Times New Roman" w:hAnsi="Times New Roman"/>
          <w:b/>
          <w:bCs/>
          <w:sz w:val="24"/>
          <w:szCs w:val="24"/>
        </w:rPr>
        <w:t xml:space="preserve">Câu 11. </w:t>
      </w:r>
      <w:r>
        <w:rPr>
          <w:rFonts w:ascii="Times New Roman" w:cs="Times New Roman" w:eastAsia="Times New Roman" w:hAnsi="Times New Roman"/>
          <w:sz w:val="24"/>
          <w:szCs w:val="24"/>
        </w:rPr>
        <w:t xml:space="preserve">Công dân bình đẳng trước pháp luật có nghĩa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mọi công dân đều có thu nhập như nhau.</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mọi công dân đều có quyền như nhau trong mọi hoàn cảnh mà không cần thực hiện nghĩa vụ.</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người có chức vụ mới phải chịu trách nhiệm pháp lí.</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mọi công dân không bị phân biệt đối xử trong việc hưởng quyền, thực hiện nghĩa vụ và chịu trách nhiệm pháp lí.</w:t>
      </w:r>
    </w:p>
    <w:p>
      <w:pPr>
        <w:spacing w:after="40" w:line="276"/>
      </w:pPr>
      <w:r>
        <w:rPr>
          <w:rFonts w:ascii="Times New Roman" w:cs="Times New Roman" w:eastAsia="Times New Roman" w:hAnsi="Times New Roman"/>
          <w:b/>
          <w:bCs/>
          <w:sz w:val="24"/>
          <w:szCs w:val="24"/>
        </w:rPr>
        <w:t xml:space="preserve">Câu 12. </w:t>
      </w:r>
      <w:r>
        <w:rPr>
          <w:rFonts w:ascii="Times New Roman" w:cs="Times New Roman" w:eastAsia="Times New Roman" w:hAnsi="Times New Roman"/>
          <w:sz w:val="24"/>
          <w:szCs w:val="24"/>
        </w:rPr>
        <w:t xml:space="preserve">Biểu hiện nào sau đây thể hiện bình đẳng giới trong lĩnh vực lao động?</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Sa thải lao động nữ khi mang thai.</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Nam, nữ được đối xử bình đẳng về cơ hội việc làm, tiền lương và điều kiện lao động.</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Trả lương cho lao động nữ thấp hơn lao động nam cùng vị trí.</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tuyển dụng lao động nam vào vị trí quản lí.</w:t>
      </w:r>
    </w:p>
    <w:p>
      <w:pPr>
        <w:spacing w:after="40" w:line="276"/>
      </w:pPr>
      <w:r>
        <w:rPr>
          <w:rFonts w:ascii="Times New Roman" w:cs="Times New Roman" w:eastAsia="Times New Roman" w:hAnsi="Times New Roman"/>
          <w:b/>
          <w:bCs/>
          <w:sz w:val="24"/>
          <w:szCs w:val="24"/>
        </w:rPr>
        <w:t xml:space="preserve">Câu 13. </w:t>
      </w:r>
      <w:r>
        <w:rPr>
          <w:rFonts w:ascii="Times New Roman" w:cs="Times New Roman" w:eastAsia="Times New Roman" w:hAnsi="Times New Roman"/>
          <w:sz w:val="24"/>
          <w:szCs w:val="24"/>
        </w:rPr>
        <w:t xml:space="preserve">Theo quy định của pháp luật, không ai được tự ý vào chỗ ở của người khác nếu không được người đó đồng ý, trừ trường hợp pháp luật cho phép. Đây là nội dung của quyền</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bí mật thư tín.</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bất khả xâm phạm về chỗ ở.</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tự do ngôn luận.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bất khả xâm phạm về thân thể.</w:t>
      </w:r>
    </w:p>
    <w:p>
      <w:pPr>
        <w:spacing w:after="40" w:line="276"/>
      </w:pPr>
      <w:r>
        <w:rPr>
          <w:rFonts w:ascii="Times New Roman" w:cs="Times New Roman" w:eastAsia="Times New Roman" w:hAnsi="Times New Roman"/>
          <w:b/>
          <w:bCs/>
          <w:sz w:val="24"/>
          <w:szCs w:val="24"/>
        </w:rPr>
        <w:t xml:space="preserve">Câu 14. </w:t>
      </w:r>
      <w:r>
        <w:rPr>
          <w:rFonts w:ascii="Times New Roman" w:cs="Times New Roman" w:eastAsia="Times New Roman" w:hAnsi="Times New Roman"/>
          <w:sz w:val="24"/>
          <w:szCs w:val="24"/>
        </w:rPr>
        <w:t xml:space="preserve">Theo Hiến pháp năm 2013, công dân Việt Nam đủ bao nhiêu tuổi trở lên có quyền bầu cử?</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16 tuổi.</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21 tuổi.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 tuổi.</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18 tuổi.</w:t>
      </w:r>
    </w:p>
    <w:p>
      <w:pPr>
        <w:spacing w:after="40" w:line="276"/>
      </w:pPr>
      <w:r>
        <w:rPr>
          <w:rFonts w:ascii="Times New Roman" w:cs="Times New Roman" w:eastAsia="Times New Roman" w:hAnsi="Times New Roman"/>
          <w:b/>
          <w:bCs/>
          <w:sz w:val="24"/>
          <w:szCs w:val="24"/>
        </w:rPr>
        <w:t xml:space="preserve">Câu 15. </w:t>
      </w:r>
      <w:r>
        <w:rPr>
          <w:rFonts w:ascii="Times New Roman" w:cs="Times New Roman" w:eastAsia="Times New Roman" w:hAnsi="Times New Roman"/>
          <w:sz w:val="24"/>
          <w:szCs w:val="24"/>
        </w:rPr>
        <w:t xml:space="preserve">Theo Hiến pháp năm 2013, công dân Việt Nam đủ bao nhiêu tuổi trở lên có quyền ứng cử vào Quốc hội, Hội đồng nhân dân?</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18 tuổi.</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25 tuổi.</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21 tuổi.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 tuổi.</w:t>
      </w:r>
    </w:p>
    <w:p>
      <w:pPr>
        <w:spacing w:after="40" w:line="276"/>
      </w:pPr>
      <w:r>
        <w:rPr>
          <w:rFonts w:ascii="Times New Roman" w:cs="Times New Roman" w:eastAsia="Times New Roman" w:hAnsi="Times New Roman"/>
          <w:b/>
          <w:bCs/>
          <w:sz w:val="24"/>
          <w:szCs w:val="24"/>
        </w:rPr>
        <w:t xml:space="preserve">Câu 16. </w:t>
      </w:r>
      <w:r>
        <w:rPr>
          <w:rFonts w:ascii="Times New Roman" w:cs="Times New Roman" w:eastAsia="Times New Roman" w:hAnsi="Times New Roman"/>
          <w:sz w:val="24"/>
          <w:szCs w:val="24"/>
        </w:rPr>
        <w:t xml:space="preserve">Nộp thuế theo quy định của pháp luật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nghĩa vụ của công dân.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quyền tự lựa chọn của công dân.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việc làm tự nguyện, không bắt buộc.</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nghĩa vụ chỉ dành cho doanh nghiệp nhà nước.</w:t>
      </w:r>
    </w:p>
    <w:p>
      <w:pPr>
        <w:spacing w:after="40" w:line="276"/>
      </w:pPr>
      <w:r>
        <w:rPr>
          <w:rFonts w:ascii="Times New Roman" w:cs="Times New Roman" w:eastAsia="Times New Roman" w:hAnsi="Times New Roman"/>
          <w:b/>
          <w:bCs/>
          <w:sz w:val="24"/>
          <w:szCs w:val="24"/>
        </w:rPr>
        <w:t xml:space="preserve">Câu 17. </w:t>
      </w:r>
      <w:r>
        <w:rPr>
          <w:rFonts w:ascii="Times New Roman" w:cs="Times New Roman" w:eastAsia="Times New Roman" w:hAnsi="Times New Roman"/>
          <w:sz w:val="24"/>
          <w:szCs w:val="24"/>
        </w:rPr>
        <w:t xml:space="preserve">Theo Luật Nghĩa vụ quân sự, độ tuổi gọi nhập ngũ đối với công dân nam (không thuộc diện được tạm hoãn để học cao đẳng, đại học)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đủ 16 tuổi đến hết 20 tuổi.</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đủ 20 tuổi đến hết 30 tuổi.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đủ 17 tuổi đến hết 27 tuổi.</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đủ 18 tuổi đến hết 25 tuổi.</w:t>
      </w:r>
    </w:p>
    <w:p>
      <w:pPr>
        <w:spacing w:after="40" w:line="276"/>
      </w:pPr>
      <w:r>
        <w:rPr>
          <w:rFonts w:ascii="Times New Roman" w:cs="Times New Roman" w:eastAsia="Times New Roman" w:hAnsi="Times New Roman"/>
          <w:b/>
          <w:bCs/>
          <w:sz w:val="24"/>
          <w:szCs w:val="24"/>
        </w:rPr>
        <w:t xml:space="preserve">Câu 18. </w:t>
      </w:r>
      <w:r>
        <w:rPr>
          <w:rFonts w:ascii="Times New Roman" w:cs="Times New Roman" w:eastAsia="Times New Roman" w:hAnsi="Times New Roman"/>
          <w:sz w:val="24"/>
          <w:szCs w:val="24"/>
        </w:rPr>
        <w:t xml:space="preserve">Nội dung nào sau đây thể hiện quyền học tập của công dân?</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Công dân có quyền học tập suốt đời, học bằng nhiều hình thức khác nhau.</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Công dân chỉ được học một ngành duy nhất.</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Học sinh nữ không được học ngành kĩ thuật.</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người có điều kiện kinh tế mới được học đại học.</w:t>
      </w:r>
    </w:p>
    <w:p>
      <w:pPr>
        <w:spacing w:after="40" w:line="276"/>
      </w:pPr>
      <w:r>
        <w:rPr>
          <w:rFonts w:ascii="Times New Roman" w:cs="Times New Roman" w:eastAsia="Times New Roman" w:hAnsi="Times New Roman"/>
          <w:b/>
          <w:bCs/>
          <w:sz w:val="24"/>
          <w:szCs w:val="24"/>
        </w:rPr>
        <w:t xml:space="preserve">Câu 19. </w:t>
      </w:r>
      <w:r>
        <w:rPr>
          <w:rFonts w:ascii="Times New Roman" w:cs="Times New Roman" w:eastAsia="Times New Roman" w:hAnsi="Times New Roman"/>
          <w:sz w:val="24"/>
          <w:szCs w:val="24"/>
        </w:rPr>
        <w:t xml:space="preserve">Công dân có quyền được bảo vệ, chăm sóc sức khỏe, đồng thời có nghĩa vụ</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che giấu bệnh truyền nhiễm nguy hiểm.</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tự ý sử dụng thuốc kê đơn khi chưa có chỉ định của bác sĩ.</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thực hiện các quy định về phòng bệnh, khám bệnh, chữa bệnh.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chối tiêm phòng bắt buộc khi có dịch bệnh.</w:t>
      </w:r>
    </w:p>
    <w:p>
      <w:pPr>
        <w:spacing w:after="40" w:line="276"/>
      </w:pPr>
      <w:r>
        <w:rPr>
          <w:rFonts w:ascii="Times New Roman" w:cs="Times New Roman" w:eastAsia="Times New Roman" w:hAnsi="Times New Roman"/>
          <w:b/>
          <w:bCs/>
          <w:sz w:val="24"/>
          <w:szCs w:val="24"/>
        </w:rPr>
        <w:t xml:space="preserve">Câu 20. </w:t>
      </w:r>
      <w:r>
        <w:rPr>
          <w:rFonts w:ascii="Times New Roman" w:cs="Times New Roman" w:eastAsia="Times New Roman" w:hAnsi="Times New Roman"/>
          <w:sz w:val="24"/>
          <w:szCs w:val="24"/>
        </w:rPr>
        <w:t xml:space="preserve">Học sinh phát biểu ý kiến xây dựng kế hoạch hoạt động của lớp trong buổi sinh hoạt là thực hiện quyền</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khiếu nại.</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tự do ngôn luận.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tố cáo.</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bất khả xâm phạm về thân thể.</w:t>
      </w:r>
    </w:p>
    <w:p>
      <w:pPr>
        <w:spacing w:after="40" w:line="276"/>
      </w:pPr>
      <w:r>
        <w:rPr>
          <w:rFonts w:ascii="Times New Roman" w:cs="Times New Roman" w:eastAsia="Times New Roman" w:hAnsi="Times New Roman"/>
          <w:b/>
          <w:bCs/>
          <w:sz w:val="24"/>
          <w:szCs w:val="24"/>
        </w:rPr>
        <w:t xml:space="preserve">Câu 21. </w:t>
      </w:r>
      <w:r>
        <w:rPr>
          <w:rFonts w:ascii="Times New Roman" w:cs="Times New Roman" w:eastAsia="Times New Roman" w:hAnsi="Times New Roman"/>
          <w:sz w:val="24"/>
          <w:szCs w:val="24"/>
        </w:rPr>
        <w:t xml:space="preserve">Nguyên tắc nào sau đây là nguyên tắc cơ bản của luật quốc tế?</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Tôn trọng chủ quyền và toàn vẹn lãnh thổ của các quốc gia.</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Can thiệp vào công việc nội bộ của quốc gia khác.</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Ưu tiên lợi ích của các nước lớn.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Sử dụng vũ lực để giải quyết tranh chấp.</w:t>
      </w:r>
    </w:p>
    <w:p>
      <w:pPr>
        <w:spacing w:after="40" w:line="276"/>
      </w:pPr>
      <w:r>
        <w:rPr>
          <w:rFonts w:ascii="Times New Roman" w:cs="Times New Roman" w:eastAsia="Times New Roman" w:hAnsi="Times New Roman"/>
          <w:b/>
          <w:bCs/>
          <w:sz w:val="24"/>
          <w:szCs w:val="24"/>
        </w:rPr>
        <w:t xml:space="preserve">Câu 22. </w:t>
      </w:r>
      <w:r>
        <w:rPr>
          <w:rFonts w:ascii="Times New Roman" w:cs="Times New Roman" w:eastAsia="Times New Roman" w:hAnsi="Times New Roman"/>
          <w:sz w:val="24"/>
          <w:szCs w:val="24"/>
        </w:rPr>
        <w:t xml:space="preserve">Lãnh thổ quốc gia bao gồm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vùng đất và vùng biển quốc tế.</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vùng đất, vùng nước, vùng trời và lòng đất.</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có vùng đất liền.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vùng đất và vùng đặc quyền kinh tế.</w:t>
      </w:r>
    </w:p>
    <w:p>
      <w:pPr>
        <w:spacing w:after="40" w:line="276"/>
      </w:pPr>
      <w:r>
        <w:rPr>
          <w:rFonts w:ascii="Times New Roman" w:cs="Times New Roman" w:eastAsia="Times New Roman" w:hAnsi="Times New Roman"/>
          <w:b/>
          <w:bCs/>
          <w:sz w:val="24"/>
          <w:szCs w:val="24"/>
        </w:rPr>
        <w:t xml:space="preserve">Câu 23. </w:t>
      </w:r>
      <w:r>
        <w:rPr>
          <w:rFonts w:ascii="Times New Roman" w:cs="Times New Roman" w:eastAsia="Times New Roman" w:hAnsi="Times New Roman"/>
          <w:sz w:val="24"/>
          <w:szCs w:val="24"/>
        </w:rPr>
        <w:t xml:space="preserve">Công ước của Liên hợp quốc về Luật Biển được thông qua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1977.</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1945.</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1982.</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1995.</w:t>
      </w:r>
    </w:p>
    <w:p>
      <w:pPr>
        <w:spacing w:after="40" w:line="276"/>
      </w:pPr>
      <w:r>
        <w:rPr>
          <w:rFonts w:ascii="Times New Roman" w:cs="Times New Roman" w:eastAsia="Times New Roman" w:hAnsi="Times New Roman"/>
          <w:b/>
          <w:bCs/>
          <w:sz w:val="24"/>
          <w:szCs w:val="24"/>
        </w:rPr>
        <w:t xml:space="preserve">Câu 24. </w:t>
      </w:r>
      <w:r>
        <w:rPr>
          <w:rFonts w:ascii="Times New Roman" w:cs="Times New Roman" w:eastAsia="Times New Roman" w:hAnsi="Times New Roman"/>
          <w:sz w:val="24"/>
          <w:szCs w:val="24"/>
        </w:rPr>
        <w:t xml:space="preserve">Anh A mở cửa hàng kinh doanh nhưng không đăng kí kinh doanh theo quy định. Hành vi của anh A</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thực hiện nghĩa vụ nộp thuế.</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thực hiện đúng quyền tự do kinh doanh.</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không vi phạm pháp luật vì kinh doanh nhỏ.</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 phạm quy định của pháp luật về đăng kí kinh doanh.</w:t>
      </w:r>
    </w:p>
    <w:p>
      <w:pPr>
        <w:spacing w:after="120" w:line="276"/>
      </w:pPr>
      <w:r>
        <w:rPr>
          <w:rFonts w:ascii="Times New Roman" w:cs="Times New Roman" w:eastAsia="Times New Roman" w:hAnsi="Times New Roman"/>
          <w:b/>
          <w:bCs/>
          <w:sz w:val="24"/>
          <w:szCs w:val="24"/>
        </w:rPr>
        <w:t xml:space="preserve">Phần II. Câu trắc nghiệm đúng sai. Thí sinh trả lời từ câu 1 đến câu 4. Trong mỗi ý a), b), c), d) ở mỗi câu, thí sinh chọn đúng hoặc sai.</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Đọc thông tin sau: Ông K là giám đốc công ty X. Công ty trả lương cho lao động nữ thấp hơn lao động nam dù cùng vị trí, cùng năng suất. Ngoài ra, công ty còn xả nước thải chưa qua xử lí ra sông để tiết kiệm chi phí.</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Ông K đã vi phạm quyền bình đẳng giới trong lĩnh vực lao động.</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Việc xả nước thải chưa xử lí là biểu hiện của việc thực hiện tốt trách nhiệm xã hội của doanh nghiệp.</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Công ty X cần thực hiện trách nhiệm pháp lí về bảo vệ môi trường.</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Trả lương theo giới tính là quyền tự chủ hợp pháp của doanh nghiệp.</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Cho bảng số liệu về tốc độ tăng trưởng GDP của quốc gia 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11"/>
        <w:gridCol w:w="2409"/>
        <w:gridCol w:w="2409"/>
        <w:gridCol w:w="2409"/>
      </w:tblGrid>
      <w:tr>
        <w:tc>
          <w:tcPr>
            <w:tcW w:type="dxa" w:w="2411"/>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Năm</w:t>
            </w:r>
          </w:p>
        </w:tc>
        <w:tc>
          <w:tcPr>
            <w:tcW w:type="dxa" w:w="2409"/>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2021</w:t>
            </w:r>
          </w:p>
        </w:tc>
        <w:tc>
          <w:tcPr>
            <w:tcW w:type="dxa" w:w="2409"/>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2022</w:t>
            </w:r>
          </w:p>
        </w:tc>
        <w:tc>
          <w:tcPr>
            <w:tcW w:type="dxa" w:w="2409"/>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2023</w:t>
            </w:r>
          </w:p>
        </w:tc>
      </w:tr>
      <w:tr>
        <w:tc>
          <w:tcPr>
            <w:tcW w:type="dxa" w:w="241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Tốc độ tăng trưởng GDP (%)</w:t>
            </w:r>
          </w:p>
        </w:tc>
        <w:tc>
          <w:tcPr>
            <w:tcW w:type="dxa" w:w="2409"/>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2</m:t>
              </m:r>
              <m:r>
                <m:rPr>
                  <m:sty m:val="p"/>
                </m:rPr>
                <w:rPr>
                  <w:rFonts w:ascii="Cambria Math" w:hAnsi="Cambria Math"/>
                  <w:sz w:val="24"/>
                  <w:szCs w:val="24"/>
                </w:rPr>
                <m:t>,</m:t>
              </m:r>
              <m:r>
                <w:rPr>
                  <w:rFonts w:ascii="Cambria Math" w:hAnsi="Cambria Math"/>
                  <w:sz w:val="24"/>
                  <w:szCs w:val="24"/>
                </w:rPr>
                <m:t>6</m:t>
              </m:r>
            </m:oMath>
          </w:p>
        </w:tc>
        <w:tc>
          <w:tcPr>
            <w:tcW w:type="dxa" w:w="2409"/>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8</m:t>
              </m:r>
              <m:r>
                <m:rPr>
                  <m:sty m:val="p"/>
                </m:rPr>
                <w:rPr>
                  <w:rFonts w:ascii="Cambria Math" w:hAnsi="Cambria Math"/>
                  <w:sz w:val="24"/>
                  <w:szCs w:val="24"/>
                </w:rPr>
                <m:t>,</m:t>
              </m:r>
              <m:r>
                <w:rPr>
                  <w:rFonts w:ascii="Cambria Math" w:hAnsi="Cambria Math"/>
                  <w:sz w:val="24"/>
                  <w:szCs w:val="24"/>
                </w:rPr>
                <m:t>0</m:t>
              </m:r>
            </m:oMath>
          </w:p>
        </w:tc>
        <w:tc>
          <w:tcPr>
            <w:tcW w:type="dxa" w:w="2409"/>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5</m:t>
              </m:r>
              <m:r>
                <m:rPr>
                  <m:sty m:val="p"/>
                </m:rPr>
                <w:rPr>
                  <w:rFonts w:ascii="Cambria Math" w:hAnsi="Cambria Math"/>
                  <w:sz w:val="24"/>
                  <w:szCs w:val="24"/>
                </w:rPr>
                <m:t>,</m:t>
              </m:r>
              <m:r>
                <w:rPr>
                  <w:rFonts w:ascii="Cambria Math" w:hAnsi="Cambria Math"/>
                  <w:sz w:val="24"/>
                  <w:szCs w:val="24"/>
                </w:rPr>
                <m:t>0</m:t>
              </m:r>
            </m:oMath>
          </w:p>
        </w:tc>
      </w:tr>
    </w:tbl>
    <w:p>
      <w:pPr>
        <w:spacing w:after="0" w:line="276"/>
      </w:pPr>
      <w:r>
        <w:rPr>
          <w:rFonts w:ascii="Times New Roman" w:cs="Times New Roman" w:eastAsia="Times New Roman" w:hAnsi="Times New Roman"/>
          <w:sz w:val="24"/>
          <w:szCs w:val="24"/>
        </w:rPr>
        <w:t xml:space="preserve"/>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Năm 2022, quốc gia Y có tốc độ tăng trưởng GDP cao nhất trong giai đoạn trên.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Quy mô GDP năm 2023 của quốc gia Y giảm so với năm 2022.</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Tăng trưởng kinh tế là điều kiện cần để phát triển kinh tế.</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Tốc độ tăng trưởng cao luôn đồng nghĩa với phát triển bền vững.</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Gia đình chị M có tổng thu nhập 20 triệu đồng/tháng. Cơ cấu sử dụng thu nhập của gia đình được thể hiện ở biểu đồ sau:</w:t>
      </w:r>
    </w:p>
    <w:p>
      <w:pPr>
        <w:keepLines/>
        <w:spacing w:after="0" w:before="60"/>
      </w:pPr>
      <w:r>
        <w:rPr>
          <w:sz w:val="2"/>
          <w:szCs w:val="2"/>
        </w:rPr>
        <w:t xml:space="preserve">​</w:t>
      </w:r>
      <w:r>
        <w:drawing>
          <wp:anchor distT="57150" distB="57150" distL="0" distR="0" simplePos="0" allowOverlap="0" behindDoc="0" locked="1" layoutInCell="1" relativeHeight="1752600">
            <wp:simplePos x="0" y="0"/>
            <wp:positionH relativeFrom="column">
              <wp:align>center</wp:align>
            </wp:positionH>
            <wp:positionV relativeFrom="paragraph">
              <wp:posOffset>0</wp:posOffset>
            </wp:positionV>
            <wp:extent cx="2524125" cy="1752600"/>
            <wp:effectExtent t="0" r="0" b="0" l="0"/>
            <wp:wrapTopAndBottom distT="57150" distB="5715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24125" cy="1752600"/>
                    </a:xfrm>
                    <a:prstGeom prst="rect">
                      <a:avLst/>
                    </a:prstGeom>
                  </pic:spPr>
                </pic:pic>
              </a:graphicData>
            </a:graphic>
          </wp:anchor>
        </w:drawing>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Khoản chi không thiết yếu của gia đình chị M là 5 triệu đồng/tháng.</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Mỗi tháng gia đình chị M tiết kiệm được 3 triệu đồng.</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Quản lí thu, chi hợp lí giúp gia đình chủ động về tài chính.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Khi thu nhập không đủ, gia đình nên vay nợ tiêu dùng để mua sắm hàng xa xỉ.</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Đọc thông tin sau: Trong ngày bầu cử đại biểu Hội đồng nhân dân, ông T vì bận việc nên nhờ con trai đi bỏ phiếu thay. Em H (17 tuổi) muốn đi bỏ phiếu cùng bố mẹ.</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Việc nhờ người khác bỏ phiếu thay của ông T vi phạm nguyên tắc bầu cử trực tiếp.</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Em H chưa đủ tuổi để thực hiện quyền bầu cử.</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Người đang bị tạm giam không bao giờ được thực hiện quyền bầu cử.</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Bầu cử ở nước ta được tiến hành theo nguyên tắc phổ thông, bình đẳng, trực tiếp và bỏ phiếu kín.</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c3abb4f6e778e0e385215a0e04ad1c146f8458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2026-10-15T04:06:40.137Z</dcterms:created>
  <dcterms:modified xsi:type="dcterms:W3CDTF">2026-10-15T04:06:40.137Z</dcterms:modified>
</cp:coreProperties>
</file>

<file path=docProps/custom.xml><?xml version="1.0" encoding="utf-8"?>
<Properties xmlns="http://schemas.openxmlformats.org/officeDocument/2006/custom-properties" xmlns:vt="http://schemas.openxmlformats.org/officeDocument/2006/docPropsVTypes"/>
</file>