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7AB89A">
      <w:pPr>
        <w:spacing w:after="120" w:line="276" w:lineRule="auto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Câu trắc nghiệm đúng sai. Thí sinh trả lời từ câu 1 đến câu 8. Trong mỗi ý a), b), c), d) ở mỗi câu, thí sinh chọn đúng hoặc sai.</w:t>
      </w:r>
    </w:p>
    <w:p w14:paraId="119C161D">
      <w:pPr>
        <w:spacing w:after="40" w:line="276" w:lineRule="auto"/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Câu 1. </w:t>
      </w:r>
      <w:r>
        <w:rPr>
          <w:rFonts w:ascii="Times New Roman" w:hAnsi="Times New Roman" w:eastAsia="Times New Roman" w:cs="Times New Roman"/>
          <w:sz w:val="24"/>
          <w:szCs w:val="24"/>
        </w:rPr>
        <w:t>Về hệ thống văn bản quy phạm pháp luật của Việt Nam:</w:t>
      </w:r>
    </w:p>
    <w:p w14:paraId="60373500">
      <w:pPr>
        <w:spacing w:after="40" w:line="276" w:lineRule="auto"/>
        <w:ind w:left="280"/>
      </w:pPr>
      <w:r>
        <w:rPr>
          <w:rFonts w:ascii="Times New Roman" w:hAnsi="Times New Roman" w:eastAsia="Times New Roman" w:cs="Times New Roman"/>
          <w:b/>
          <w:bCs/>
          <w:color w:val="FF0000"/>
          <w:sz w:val="24"/>
          <w:szCs w:val="24"/>
        </w:rPr>
        <w:t>a)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Hiến pháp là văn bản có hiệu lực pháp lí cao nhất.</w:t>
      </w:r>
    </w:p>
    <w:p w14:paraId="7F9DA82C">
      <w:pPr>
        <w:spacing w:after="40" w:line="276" w:lineRule="auto"/>
        <w:ind w:left="280"/>
      </w:pPr>
      <w:r>
        <w:rPr>
          <w:rFonts w:ascii="Times New Roman" w:hAnsi="Times New Roman" w:eastAsia="Times New Roman" w:cs="Times New Roman"/>
          <w:b/>
          <w:bCs/>
          <w:color w:val="FF0000"/>
          <w:sz w:val="24"/>
          <w:szCs w:val="24"/>
        </w:rPr>
        <w:t>b)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Nghị định là văn bản quy phạm pháp luật do Chính phủ ban hành.</w:t>
      </w:r>
    </w:p>
    <w:p w14:paraId="741D0514">
      <w:pPr>
        <w:spacing w:after="40" w:line="276" w:lineRule="auto"/>
        <w:ind w:left="280"/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c)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Luật là văn bản do Chủ tịch nước ban hành.</w:t>
      </w:r>
    </w:p>
    <w:p w14:paraId="52615E54">
      <w:pPr>
        <w:spacing w:after="40" w:line="276" w:lineRule="auto"/>
        <w:ind w:left="280"/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d)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Văn bản quy phạm pháp luật trái với Hiến pháp vẫn có hiệu lực nếu được ban hành trước Hiến pháp.</w:t>
      </w:r>
    </w:p>
    <w:p w14:paraId="412313B0">
      <w:pPr>
        <w:spacing w:after="40" w:line="276" w:lineRule="auto"/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Câu 2. </w:t>
      </w:r>
      <w:r>
        <w:rPr>
          <w:rFonts w:ascii="Times New Roman" w:hAnsi="Times New Roman" w:eastAsia="Times New Roman" w:cs="Times New Roman"/>
          <w:sz w:val="24"/>
          <w:szCs w:val="24"/>
        </w:rPr>
        <w:t>Cho quy phạm: "Người nào điều khiển xe mô tô vượt đèn đỏ thì bị phạt tiền theo quy định."</w:t>
      </w:r>
    </w:p>
    <w:p w14:paraId="3EBBCFA0">
      <w:pPr>
        <w:spacing w:after="40" w:line="276" w:lineRule="auto"/>
        <w:ind w:left="280"/>
      </w:pPr>
      <w:r>
        <w:rPr>
          <w:rFonts w:ascii="Times New Roman" w:hAnsi="Times New Roman" w:eastAsia="Times New Roman" w:cs="Times New Roman"/>
          <w:b/>
          <w:bCs/>
          <w:color w:val="FF0000"/>
          <w:sz w:val="24"/>
          <w:szCs w:val="24"/>
        </w:rPr>
        <w:t>a)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Bộ phận "Người nào điều khiển xe mô tô vượt đèn đỏ" là phần giả định.</w:t>
      </w:r>
    </w:p>
    <w:p w14:paraId="6620F0A5">
      <w:pPr>
        <w:spacing w:after="40" w:line="276" w:lineRule="auto"/>
        <w:ind w:left="280"/>
      </w:pPr>
      <w:r>
        <w:rPr>
          <w:rFonts w:ascii="Times New Roman" w:hAnsi="Times New Roman" w:eastAsia="Times New Roman" w:cs="Times New Roman"/>
          <w:b/>
          <w:bCs/>
          <w:color w:val="FF0000"/>
          <w:sz w:val="24"/>
          <w:szCs w:val="24"/>
        </w:rPr>
        <w:t>b)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Bộ phận "thì bị phạt tiền theo quy định" là phần chế tài.</w:t>
      </w:r>
    </w:p>
    <w:p w14:paraId="6CCDF1D0">
      <w:pPr>
        <w:spacing w:after="40" w:line="276" w:lineRule="auto"/>
        <w:ind w:left="280"/>
      </w:pPr>
      <w:r>
        <w:rPr>
          <w:rFonts w:ascii="Times New Roman" w:hAnsi="Times New Roman" w:eastAsia="Times New Roman" w:cs="Times New Roman"/>
          <w:b/>
          <w:bCs/>
          <w:color w:val="FF0000"/>
          <w:sz w:val="24"/>
          <w:szCs w:val="24"/>
        </w:rPr>
        <w:t>c)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Quy phạm pháp luật có tính bắt buộc chung đối với mọi chủ thể ở trong điều kiện mà nó dự liệu.</w:t>
      </w:r>
    </w:p>
    <w:p w14:paraId="505FB79F">
      <w:pPr>
        <w:spacing w:after="40" w:line="276" w:lineRule="auto"/>
        <w:ind w:left="280"/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d)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Mọi quy phạm pháp luật đều phải được viết đầy đủ cả ba bộ phận giả định, quy định, chế tài trong cùng một điều luật.</w:t>
      </w:r>
    </w:p>
    <w:p w14:paraId="411249A1">
      <w:pPr>
        <w:spacing w:after="40" w:line="276" w:lineRule="auto"/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Câu 3. </w:t>
      </w:r>
      <w:r>
        <w:rPr>
          <w:rFonts w:ascii="Times New Roman" w:hAnsi="Times New Roman" w:eastAsia="Times New Roman" w:cs="Times New Roman"/>
          <w:sz w:val="24"/>
          <w:szCs w:val="24"/>
        </w:rPr>
        <w:t>Theo Bộ luật Dân sự năm 2015:</w:t>
      </w:r>
    </w:p>
    <w:p w14:paraId="146EC3D4">
      <w:pPr>
        <w:spacing w:after="40" w:line="276" w:lineRule="auto"/>
        <w:ind w:left="280"/>
      </w:pPr>
      <w:r>
        <w:rPr>
          <w:rFonts w:ascii="Times New Roman" w:hAnsi="Times New Roman" w:eastAsia="Times New Roman" w:cs="Times New Roman"/>
          <w:b/>
          <w:bCs/>
          <w:color w:val="FF0000"/>
          <w:sz w:val="24"/>
          <w:szCs w:val="24"/>
        </w:rPr>
        <w:t>a)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Năng lực pháp luật dân sự của cá nhân có từ khi người đó sinh ra và chấm dứt khi người đó chết.</w:t>
      </w:r>
    </w:p>
    <w:p w14:paraId="1FD611B9">
      <w:pPr>
        <w:spacing w:after="40" w:line="276" w:lineRule="auto"/>
        <w:ind w:left="280"/>
      </w:pPr>
      <w:r>
        <w:rPr>
          <w:rFonts w:ascii="Times New Roman" w:hAnsi="Times New Roman" w:eastAsia="Times New Roman" w:cs="Times New Roman"/>
          <w:b/>
          <w:bCs/>
          <w:color w:val="FF0000"/>
          <w:sz w:val="24"/>
          <w:szCs w:val="24"/>
        </w:rPr>
        <w:t>b)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Người từ đủ 18 tuổi trở lên là người thành niên, có năng lực hành vi dân sự đầy đủ (trừ trường hợp luật định).</w:t>
      </w:r>
    </w:p>
    <w:p w14:paraId="1FDE6512">
      <w:pPr>
        <w:spacing w:after="40" w:line="276" w:lineRule="auto"/>
        <w:ind w:left="280"/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c)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Người chưa đủ 6 tuổi được tự mình xác lập, thực hiện mọi giao dịch dân sự.</w:t>
      </w:r>
    </w:p>
    <w:p w14:paraId="20398CED">
      <w:pPr>
        <w:spacing w:after="40" w:line="276" w:lineRule="auto"/>
        <w:ind w:left="280"/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d)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Năng lực hành vi dân sự của mọi cá nhân là như nhau.</w:t>
      </w:r>
    </w:p>
    <w:p w14:paraId="1EF4CC60">
      <w:pPr>
        <w:spacing w:after="40" w:line="276" w:lineRule="auto"/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Câu 4. </w:t>
      </w:r>
      <w:r>
        <w:rPr>
          <w:rFonts w:ascii="Times New Roman" w:hAnsi="Times New Roman" w:eastAsia="Times New Roman" w:cs="Times New Roman"/>
          <w:sz w:val="24"/>
          <w:szCs w:val="24"/>
        </w:rPr>
        <w:t>Về vi phạm pháp luật và trách nhiệm pháp lí:</w:t>
      </w:r>
    </w:p>
    <w:p w14:paraId="47ABB051">
      <w:pPr>
        <w:spacing w:after="40" w:line="276" w:lineRule="auto"/>
        <w:ind w:left="280"/>
      </w:pPr>
      <w:r>
        <w:rPr>
          <w:rFonts w:ascii="Times New Roman" w:hAnsi="Times New Roman" w:eastAsia="Times New Roman" w:cs="Times New Roman"/>
          <w:b/>
          <w:bCs/>
          <w:color w:val="FF0000"/>
          <w:sz w:val="24"/>
          <w:szCs w:val="24"/>
        </w:rPr>
        <w:t>a)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Vi phạm pháp luật là hành vi trái pháp luật, có lỗi, do chủ thể có năng lực trách nhiệm pháp lí thực hiện.</w:t>
      </w:r>
    </w:p>
    <w:p w14:paraId="3E58DC58">
      <w:pPr>
        <w:spacing w:after="40" w:line="276" w:lineRule="auto"/>
        <w:ind w:left="280"/>
      </w:pPr>
      <w:r>
        <w:rPr>
          <w:rFonts w:ascii="Times New Roman" w:hAnsi="Times New Roman" w:eastAsia="Times New Roman" w:cs="Times New Roman"/>
          <w:b/>
          <w:bCs/>
          <w:color w:val="FF0000"/>
          <w:sz w:val="24"/>
          <w:szCs w:val="24"/>
        </w:rPr>
        <w:t>b)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Cấu thành vi phạm pháp luật gồm: mặt khách quan, mặt chủ quan, chủ thể và khách thể.</w:t>
      </w:r>
    </w:p>
    <w:p w14:paraId="2AC11CF1">
      <w:pPr>
        <w:spacing w:after="40" w:line="276" w:lineRule="auto"/>
        <w:ind w:left="280"/>
      </w:pPr>
      <w:r>
        <w:rPr>
          <w:rFonts w:ascii="Times New Roman" w:hAnsi="Times New Roman" w:eastAsia="Times New Roman" w:cs="Times New Roman"/>
          <w:b/>
          <w:bCs/>
          <w:color w:val="FF0000"/>
          <w:sz w:val="24"/>
          <w:szCs w:val="24"/>
        </w:rPr>
        <w:t>c)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Người từ đủ 16 tuổi trở lên phải chịu trách nhiệm hình sự về mọi tội phạm, trừ những tội phạm mà Bộ luật Hình sự có quy định khác.</w:t>
      </w:r>
    </w:p>
    <w:p w14:paraId="2FE72063">
      <w:pPr>
        <w:spacing w:after="40" w:line="276" w:lineRule="auto"/>
        <w:ind w:left="280"/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d)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Trách nhiệm kỉ luật được áp dụng đối với mọi công dân vi phạm luật giao thông đường bộ.</w:t>
      </w:r>
    </w:p>
    <w:p w14:paraId="3BFAE630">
      <w:pPr>
        <w:spacing w:after="40" w:line="276" w:lineRule="auto"/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Câu 5. </w:t>
      </w:r>
      <w:r>
        <w:rPr>
          <w:rFonts w:ascii="Times New Roman" w:hAnsi="Times New Roman" w:eastAsia="Times New Roman" w:cs="Times New Roman"/>
          <w:sz w:val="24"/>
          <w:szCs w:val="24"/>
        </w:rPr>
        <w:t>Theo Luật Hôn nhân và gia đình năm 2014:</w:t>
      </w:r>
    </w:p>
    <w:p w14:paraId="7A7A61BE">
      <w:pPr>
        <w:spacing w:after="40" w:line="276" w:lineRule="auto"/>
        <w:ind w:left="280"/>
      </w:pPr>
      <w:r>
        <w:rPr>
          <w:rFonts w:ascii="Times New Roman" w:hAnsi="Times New Roman" w:eastAsia="Times New Roman" w:cs="Times New Roman"/>
          <w:b/>
          <w:bCs/>
          <w:color w:val="FF0000"/>
          <w:sz w:val="24"/>
          <w:szCs w:val="24"/>
        </w:rPr>
        <w:t>a)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Nam từ đủ 20 tuổi trở lên, nữ từ đủ 18 tuổi trở lên được kết hôn (khi đáp ứng các điều kiện khác).</w:t>
      </w:r>
    </w:p>
    <w:p w14:paraId="5F865B9B">
      <w:pPr>
        <w:spacing w:after="40" w:line="276" w:lineRule="auto"/>
        <w:ind w:left="280"/>
      </w:pPr>
      <w:r>
        <w:rPr>
          <w:rFonts w:ascii="Times New Roman" w:hAnsi="Times New Roman" w:eastAsia="Times New Roman" w:cs="Times New Roman"/>
          <w:b/>
          <w:bCs/>
          <w:color w:val="FF0000"/>
          <w:sz w:val="24"/>
          <w:szCs w:val="24"/>
        </w:rPr>
        <w:t>b)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Việc kết hôn phải được đăng kí tại cơ quan nhà nước có thẩm quyền.</w:t>
      </w:r>
    </w:p>
    <w:p w14:paraId="0617656B">
      <w:pPr>
        <w:spacing w:after="40" w:line="276" w:lineRule="auto"/>
        <w:ind w:left="280"/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c)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Người đang có vợ hoặc có chồng được kết hôn với người khác nếu vợ hoặc chồng hiện tại đồng ý.</w:t>
      </w:r>
    </w:p>
    <w:p w14:paraId="4DE28EE5">
      <w:pPr>
        <w:spacing w:after="40" w:line="276" w:lineRule="auto"/>
        <w:ind w:left="280"/>
      </w:pPr>
      <w:r>
        <w:rPr>
          <w:rFonts w:ascii="Times New Roman" w:hAnsi="Times New Roman" w:eastAsia="Times New Roman" w:cs="Times New Roman"/>
          <w:b/>
          <w:bCs/>
          <w:color w:val="FF0000"/>
          <w:sz w:val="24"/>
          <w:szCs w:val="24"/>
        </w:rPr>
        <w:t>d)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Pháp luật cấm kết hôn giữa những người có họ trong phạm vi ba đời.</w:t>
      </w:r>
    </w:p>
    <w:p w14:paraId="354A6AAE">
      <w:pPr>
        <w:spacing w:after="40" w:line="276" w:lineRule="auto"/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Câu 6. </w:t>
      </w:r>
      <w:r>
        <w:rPr>
          <w:rFonts w:ascii="Times New Roman" w:hAnsi="Times New Roman" w:eastAsia="Times New Roman" w:cs="Times New Roman"/>
          <w:sz w:val="24"/>
          <w:szCs w:val="24"/>
        </w:rPr>
        <w:t>Theo Bộ luật Lao động năm 2019:</w:t>
      </w:r>
    </w:p>
    <w:p w14:paraId="16F411FF">
      <w:pPr>
        <w:spacing w:after="40" w:line="276" w:lineRule="auto"/>
        <w:ind w:left="280"/>
      </w:pPr>
      <w:r>
        <w:rPr>
          <w:rFonts w:ascii="Times New Roman" w:hAnsi="Times New Roman" w:eastAsia="Times New Roman" w:cs="Times New Roman"/>
          <w:b/>
          <w:bCs/>
          <w:color w:val="FF0000"/>
          <w:sz w:val="24"/>
          <w:szCs w:val="24"/>
        </w:rPr>
        <w:t>a)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Thời giờ làm việc bình thường không quá 8 giờ trong 01 ngày và không quá 48 giờ trong 01 tuần.</w:t>
      </w:r>
    </w:p>
    <w:p w14:paraId="1AF4BF63">
      <w:pPr>
        <w:spacing w:after="40" w:line="276" w:lineRule="auto"/>
        <w:ind w:left="280"/>
      </w:pPr>
      <w:r>
        <w:rPr>
          <w:rFonts w:ascii="Times New Roman" w:hAnsi="Times New Roman" w:eastAsia="Times New Roman" w:cs="Times New Roman"/>
          <w:b/>
          <w:bCs/>
          <w:color w:val="FF0000"/>
          <w:sz w:val="24"/>
          <w:szCs w:val="24"/>
        </w:rPr>
        <w:t>b)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Người lao động có quyền đơn phương chấm dứt hợp đồng lao động theo quy định của pháp luật.</w:t>
      </w:r>
    </w:p>
    <w:p w14:paraId="7C9C96B7">
      <w:pPr>
        <w:spacing w:after="40" w:line="276" w:lineRule="auto"/>
        <w:ind w:left="280"/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c)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Hợp đồng lao động chỉ được giao kết bằng lời nói.</w:t>
      </w:r>
    </w:p>
    <w:p w14:paraId="5822B122">
      <w:pPr>
        <w:spacing w:after="40" w:line="276" w:lineRule="auto"/>
        <w:ind w:left="280"/>
      </w:pPr>
      <w:r>
        <w:rPr>
          <w:rFonts w:ascii="Times New Roman" w:hAnsi="Times New Roman" w:eastAsia="Times New Roman" w:cs="Times New Roman"/>
          <w:b/>
          <w:bCs/>
          <w:color w:val="FF0000"/>
          <w:sz w:val="24"/>
          <w:szCs w:val="24"/>
        </w:rPr>
        <w:t>d)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Người lao động là người chưa thành niên được làm những công việc phù hợp, không thuộc danh mục bị cấm.</w:t>
      </w:r>
    </w:p>
    <w:p w14:paraId="57582772">
      <w:pPr>
        <w:spacing w:after="40" w:line="276" w:lineRule="auto"/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Câu 7. </w:t>
      </w:r>
      <w:r>
        <w:rPr>
          <w:rFonts w:ascii="Times New Roman" w:hAnsi="Times New Roman" w:eastAsia="Times New Roman" w:cs="Times New Roman"/>
          <w:sz w:val="24"/>
          <w:szCs w:val="24"/>
        </w:rPr>
        <w:t>Ông A qua đời không để lại di chúc. Tài sản riêng của ông A là 1,2 tỉ đồng. Thông tin về những người thân còn sống của ông A như sau:</w:t>
      </w:r>
    </w:p>
    <w:tbl>
      <w:tblPr>
        <w:tblStyle w:val="9"/>
        <w:tblW w:w="963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3214"/>
        <w:gridCol w:w="3212"/>
        <w:gridCol w:w="3212"/>
      </w:tblGrid>
      <w:tr w14:paraId="58EAA9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4921DDE">
            <w:pPr>
              <w:spacing w:after="0" w:line="276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Người thân</w:t>
            </w:r>
          </w:p>
        </w:tc>
        <w:tc>
          <w:tcPr>
            <w:tcW w:w="3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A702981">
            <w:pPr>
              <w:spacing w:after="0" w:line="276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Quan hệ với ông A</w:t>
            </w:r>
          </w:p>
        </w:tc>
        <w:tc>
          <w:tcPr>
            <w:tcW w:w="3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BBC5F86">
            <w:pPr>
              <w:spacing w:after="0" w:line="276" w:lineRule="auto"/>
              <w:jc w:val="center"/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Ghi chú</w:t>
            </w:r>
          </w:p>
        </w:tc>
      </w:tr>
      <w:tr w14:paraId="089492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51BE8EE">
            <w:pPr>
              <w:spacing w:after="0" w:line="276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Bà B</w:t>
            </w:r>
          </w:p>
        </w:tc>
        <w:tc>
          <w:tcPr>
            <w:tcW w:w="3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437B987">
            <w:pPr>
              <w:spacing w:after="0" w:line="276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Vợ</w:t>
            </w:r>
          </w:p>
        </w:tc>
        <w:tc>
          <w:tcPr>
            <w:tcW w:w="3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B733362">
            <w:pPr>
              <w:spacing w:after="0" w:line="276" w:lineRule="auto"/>
              <w:jc w:val="center"/>
            </w:pPr>
          </w:p>
        </w:tc>
      </w:tr>
      <w:tr w14:paraId="1FDCC7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846B1F1">
            <w:pPr>
              <w:spacing w:after="0" w:line="276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Anh C</w:t>
            </w:r>
          </w:p>
        </w:tc>
        <w:tc>
          <w:tcPr>
            <w:tcW w:w="3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549C096">
            <w:pPr>
              <w:spacing w:after="0" w:line="276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Con đẻ</w:t>
            </w:r>
          </w:p>
        </w:tc>
        <w:tc>
          <w:tcPr>
            <w:tcW w:w="3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A6AAEC2">
            <w:pPr>
              <w:spacing w:after="0" w:line="276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25 tuổi</w:t>
            </w:r>
          </w:p>
        </w:tc>
      </w:tr>
      <w:tr w14:paraId="46CD8E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32557F6">
            <w:pPr>
              <w:spacing w:after="0" w:line="276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Em D</w:t>
            </w:r>
          </w:p>
        </w:tc>
        <w:tc>
          <w:tcPr>
            <w:tcW w:w="3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B3E4096">
            <w:pPr>
              <w:spacing w:after="0" w:line="276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Con đẻ</w:t>
            </w:r>
          </w:p>
        </w:tc>
        <w:tc>
          <w:tcPr>
            <w:tcW w:w="3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8C16635">
            <w:pPr>
              <w:spacing w:after="0" w:line="276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15 tuổi</w:t>
            </w:r>
          </w:p>
        </w:tc>
      </w:tr>
      <w:tr w14:paraId="73EEC3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DAC5BDE">
            <w:pPr>
              <w:spacing w:after="0" w:line="276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Bà E</w:t>
            </w:r>
          </w:p>
        </w:tc>
        <w:tc>
          <w:tcPr>
            <w:tcW w:w="3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54C4B46">
            <w:pPr>
              <w:spacing w:after="0" w:line="276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Mẹ đẻ</w:t>
            </w:r>
          </w:p>
        </w:tc>
        <w:tc>
          <w:tcPr>
            <w:tcW w:w="3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41D5A4F">
            <w:pPr>
              <w:spacing w:after="0" w:line="276" w:lineRule="auto"/>
              <w:jc w:val="center"/>
            </w:pPr>
          </w:p>
        </w:tc>
      </w:tr>
      <w:tr w14:paraId="6B454B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D1B3A74">
            <w:pPr>
              <w:spacing w:after="0" w:line="276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Ông F</w:t>
            </w:r>
          </w:p>
        </w:tc>
        <w:tc>
          <w:tcPr>
            <w:tcW w:w="3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DF0AEFC">
            <w:pPr>
              <w:spacing w:after="0" w:line="276" w:lineRule="auto"/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</w:rPr>
              <w:t>Anh ruột</w:t>
            </w:r>
          </w:p>
        </w:tc>
        <w:tc>
          <w:tcPr>
            <w:tcW w:w="3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C603325">
            <w:pPr>
              <w:spacing w:after="0" w:line="276" w:lineRule="auto"/>
              <w:jc w:val="center"/>
            </w:pPr>
          </w:p>
        </w:tc>
      </w:tr>
    </w:tbl>
    <w:p w14:paraId="30CABDE5">
      <w:pPr>
        <w:spacing w:after="0" w:line="276" w:lineRule="auto"/>
      </w:pPr>
    </w:p>
    <w:p w14:paraId="31FC981C">
      <w:pPr>
        <w:spacing w:after="40" w:line="276" w:lineRule="auto"/>
        <w:ind w:left="280"/>
      </w:pPr>
      <w:r>
        <w:rPr>
          <w:rFonts w:ascii="Times New Roman" w:hAnsi="Times New Roman" w:eastAsia="Times New Roman" w:cs="Times New Roman"/>
          <w:b/>
          <w:bCs/>
          <w:color w:val="FF0000"/>
          <w:sz w:val="24"/>
          <w:szCs w:val="24"/>
        </w:rPr>
        <w:t>a)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Di sản của ông A được chia theo pháp luật vì ông A không để lại di chúc.</w:t>
      </w:r>
    </w:p>
    <w:p w14:paraId="66E6A244">
      <w:pPr>
        <w:spacing w:after="40" w:line="276" w:lineRule="auto"/>
        <w:ind w:left="280"/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b)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Ông F thuộc hàng thừa kế thứ nhất của ông A.</w:t>
      </w:r>
    </w:p>
    <w:p w14:paraId="08E62D47">
      <w:pPr>
        <w:spacing w:after="40" w:line="276" w:lineRule="auto"/>
        <w:ind w:left="280"/>
      </w:pPr>
      <w:r>
        <w:rPr>
          <w:rFonts w:ascii="Times New Roman" w:hAnsi="Times New Roman" w:eastAsia="Times New Roman" w:cs="Times New Roman"/>
          <w:b/>
          <w:bCs/>
          <w:color w:val="FF0000"/>
          <w:sz w:val="24"/>
          <w:szCs w:val="24"/>
        </w:rPr>
        <w:t>c)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Mỗi người thừa kế ở hàng thứ nhất được hưởng 300 triệu đồng.</w:t>
      </w:r>
    </w:p>
    <w:p w14:paraId="46C79B83">
      <w:pPr>
        <w:spacing w:after="40" w:line="276" w:lineRule="auto"/>
        <w:ind w:left="280"/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d)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Em D chưa thành niên nên không được hưởng di sản thừa kế.</w:t>
      </w:r>
    </w:p>
    <w:p w14:paraId="48901CBD">
      <w:pPr>
        <w:spacing w:after="40" w:line="276" w:lineRule="auto"/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Câu 8. </w:t>
      </w:r>
      <w:r>
        <w:rPr>
          <w:rFonts w:ascii="Times New Roman" w:hAnsi="Times New Roman" w:eastAsia="Times New Roman" w:cs="Times New Roman"/>
          <w:sz w:val="24"/>
          <w:szCs w:val="24"/>
        </w:rPr>
        <w:t>Về bộ máy nhà nước Cộng hòa xã hội chủ nghĩa Việt Nam theo Hiến pháp:</w:t>
      </w:r>
    </w:p>
    <w:p w14:paraId="03693D16">
      <w:pPr>
        <w:spacing w:after="40" w:line="276" w:lineRule="auto"/>
        <w:ind w:left="280"/>
      </w:pPr>
      <w:r>
        <w:rPr>
          <w:rFonts w:ascii="Times New Roman" w:hAnsi="Times New Roman" w:eastAsia="Times New Roman" w:cs="Times New Roman"/>
          <w:b/>
          <w:bCs/>
          <w:color w:val="FF0000"/>
          <w:sz w:val="24"/>
          <w:szCs w:val="24"/>
        </w:rPr>
        <w:t>a)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Quốc hội là cơ quan đại biểu cao nhất của Nhân dân, cơ quan quyền lực nhà nước cao nhất.</w:t>
      </w:r>
    </w:p>
    <w:p w14:paraId="27EC6B10">
      <w:pPr>
        <w:spacing w:after="40" w:line="276" w:lineRule="auto"/>
        <w:ind w:left="280"/>
      </w:pPr>
      <w:r>
        <w:rPr>
          <w:rFonts w:ascii="Times New Roman" w:hAnsi="Times New Roman" w:eastAsia="Times New Roman" w:cs="Times New Roman"/>
          <w:b/>
          <w:bCs/>
          <w:color w:val="FF0000"/>
          <w:sz w:val="24"/>
          <w:szCs w:val="24"/>
        </w:rPr>
        <w:t>b)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Chính phủ là cơ quan hành chính nhà nước cao nhất.</w:t>
      </w:r>
    </w:p>
    <w:p w14:paraId="66DC0A6E">
      <w:pPr>
        <w:spacing w:after="40" w:line="276" w:lineRule="auto"/>
        <w:ind w:left="280"/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c)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Tòa án nhân dân là cơ quan thực hành quyền công tố.</w:t>
      </w:r>
    </w:p>
    <w:p w14:paraId="73ADCC11">
      <w:pPr>
        <w:spacing w:after="40" w:line="276" w:lineRule="auto"/>
        <w:ind w:left="280"/>
      </w:pPr>
      <w:r>
        <w:rPr>
          <w:rFonts w:ascii="Times New Roman" w:hAnsi="Times New Roman" w:eastAsia="Times New Roman" w:cs="Times New Roman"/>
          <w:b/>
          <w:bCs/>
          <w:color w:val="FF0000"/>
          <w:sz w:val="24"/>
          <w:szCs w:val="24"/>
        </w:rPr>
        <w:t>d)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Chủ tịch nước là người đứng đầu Nhà nước, thay mặt nước Cộng hòa xã hội chủ nghĩa Việt Nam về đối nội và đối ngoại.</w:t>
      </w:r>
    </w:p>
    <w:sectPr>
      <w:pgSz w:w="11906" w:h="16838"/>
      <w:pgMar w:top="1134" w:right="1134" w:bottom="1134" w:left="1134" w:header="708" w:footer="708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isplayBackgroundShape w:val="1"/>
  <w:documentProtection w:enforcement="0"/>
  <w:compat>
    <w:compatSetting w:name="compatibilityMode" w:uri="http://schemas.microsoft.com/office/word" w:val="15"/>
  </w:compat>
  <w:rsids>
    <w:rsidRoot w:val="00000000"/>
    <w:rsid w:val="234D504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iPriority="99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iPriority="99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qFormat="1" w:uiPriority="99" w:name="endnote reference"/>
    <w:lsdException w:qFormat="1" w:uiPriority="99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sz w:val="24"/>
      <w:szCs w:val="24"/>
    </w:rPr>
  </w:style>
  <w:style w:type="paragraph" w:styleId="2">
    <w:name w:val="heading 1"/>
    <w:next w:val="1"/>
    <w:qFormat/>
    <w:uiPriority w:val="0"/>
    <w:rPr>
      <w:rFonts w:ascii="Times New Roman" w:hAnsi="Times New Roman" w:eastAsia="Times New Roman" w:cs="Times New Roman"/>
      <w:color w:val="2E74B5"/>
      <w:sz w:val="32"/>
      <w:szCs w:val="32"/>
    </w:rPr>
  </w:style>
  <w:style w:type="paragraph" w:styleId="3">
    <w:name w:val="heading 2"/>
    <w:next w:val="1"/>
    <w:qFormat/>
    <w:uiPriority w:val="0"/>
    <w:rPr>
      <w:rFonts w:ascii="Times New Roman" w:hAnsi="Times New Roman" w:eastAsia="Times New Roman" w:cs="Times New Roman"/>
      <w:color w:val="2E74B5"/>
      <w:sz w:val="26"/>
      <w:szCs w:val="26"/>
    </w:rPr>
  </w:style>
  <w:style w:type="paragraph" w:styleId="4">
    <w:name w:val="heading 3"/>
    <w:next w:val="1"/>
    <w:qFormat/>
    <w:uiPriority w:val="0"/>
    <w:rPr>
      <w:rFonts w:ascii="Times New Roman" w:hAnsi="Times New Roman" w:eastAsia="Times New Roman" w:cs="Times New Roman"/>
      <w:color w:val="1F4D78"/>
      <w:sz w:val="24"/>
      <w:szCs w:val="24"/>
    </w:rPr>
  </w:style>
  <w:style w:type="paragraph" w:styleId="5">
    <w:name w:val="heading 4"/>
    <w:next w:val="1"/>
    <w:qFormat/>
    <w:uiPriority w:val="0"/>
    <w:rPr>
      <w:rFonts w:ascii="Times New Roman" w:hAnsi="Times New Roman" w:eastAsia="Times New Roman" w:cs="Times New Roman"/>
      <w:i/>
      <w:iCs/>
      <w:color w:val="2E74B5"/>
      <w:sz w:val="24"/>
      <w:szCs w:val="24"/>
    </w:rPr>
  </w:style>
  <w:style w:type="paragraph" w:styleId="6">
    <w:name w:val="heading 5"/>
    <w:next w:val="1"/>
    <w:qFormat/>
    <w:uiPriority w:val="0"/>
    <w:rPr>
      <w:rFonts w:ascii="Times New Roman" w:hAnsi="Times New Roman" w:eastAsia="Times New Roman" w:cs="Times New Roman"/>
      <w:color w:val="2E74B5"/>
      <w:sz w:val="24"/>
      <w:szCs w:val="24"/>
    </w:rPr>
  </w:style>
  <w:style w:type="paragraph" w:styleId="7">
    <w:name w:val="heading 6"/>
    <w:next w:val="1"/>
    <w:qFormat/>
    <w:uiPriority w:val="0"/>
    <w:rPr>
      <w:rFonts w:ascii="Times New Roman" w:hAnsi="Times New Roman" w:eastAsia="Times New Roman" w:cs="Times New Roman"/>
      <w:color w:val="1F4D78"/>
      <w:sz w:val="24"/>
      <w:szCs w:val="24"/>
    </w:rPr>
  </w:style>
  <w:style w:type="character" w:default="1" w:styleId="8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0">
    <w:name w:val="endnote reference"/>
    <w:semiHidden/>
    <w:unhideWhenUsed/>
    <w:qFormat/>
    <w:uiPriority w:val="99"/>
    <w:rPr>
      <w:vertAlign w:val="superscript"/>
    </w:rPr>
  </w:style>
  <w:style w:type="paragraph" w:styleId="11">
    <w:name w:val="endnote text"/>
    <w:link w:val="18"/>
    <w:semiHidden/>
    <w:unhideWhenUsed/>
    <w:qFormat/>
    <w:uiPriority w:val="99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</w:rPr>
  </w:style>
  <w:style w:type="character" w:styleId="12">
    <w:name w:val="footnote reference"/>
    <w:semiHidden/>
    <w:unhideWhenUsed/>
    <w:qFormat/>
    <w:uiPriority w:val="99"/>
    <w:rPr>
      <w:vertAlign w:val="superscript"/>
    </w:rPr>
  </w:style>
  <w:style w:type="paragraph" w:styleId="13">
    <w:name w:val="footnote text"/>
    <w:link w:val="17"/>
    <w:semiHidden/>
    <w:unhideWhenUsed/>
    <w:qFormat/>
    <w:uiPriority w:val="99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</w:rPr>
  </w:style>
  <w:style w:type="character" w:styleId="14">
    <w:name w:val="Hyperlink"/>
    <w:unhideWhenUsed/>
    <w:qFormat/>
    <w:uiPriority w:val="99"/>
    <w:rPr>
      <w:color w:val="0563C1"/>
      <w:u w:val="single"/>
    </w:rPr>
  </w:style>
  <w:style w:type="paragraph" w:styleId="15">
    <w:name w:val="Title"/>
    <w:qFormat/>
    <w:uiPriority w:val="0"/>
    <w:rPr>
      <w:rFonts w:ascii="Times New Roman" w:hAnsi="Times New Roman" w:eastAsia="Times New Roman" w:cs="Times New Roman"/>
      <w:sz w:val="56"/>
      <w:szCs w:val="56"/>
    </w:rPr>
  </w:style>
  <w:style w:type="paragraph" w:styleId="16">
    <w:name w:val="List Paragraph"/>
    <w:qFormat/>
    <w:uiPriority w:val="0"/>
    <w:rPr>
      <w:rFonts w:ascii="Times New Roman" w:hAnsi="Times New Roman" w:eastAsia="Times New Roman" w:cs="Times New Roman"/>
      <w:sz w:val="24"/>
      <w:szCs w:val="24"/>
    </w:rPr>
  </w:style>
  <w:style w:type="character" w:customStyle="1" w:styleId="17">
    <w:name w:val="Footnote Text Char"/>
    <w:link w:val="13"/>
    <w:semiHidden/>
    <w:unhideWhenUsed/>
    <w:qFormat/>
    <w:uiPriority w:val="99"/>
    <w:rPr>
      <w:sz w:val="20"/>
      <w:szCs w:val="20"/>
    </w:rPr>
  </w:style>
  <w:style w:type="character" w:customStyle="1" w:styleId="18">
    <w:name w:val="Endnote Text Char"/>
    <w:link w:val="11"/>
    <w:semiHidden/>
    <w:unhideWhenUsed/>
    <w:qFormat/>
    <w:uiPriority w:val="99"/>
    <w:rPr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800</Words>
  <Characters>2648</Characters>
  <TotalTime>0</TotalTime>
  <ScaleCrop>false</ScaleCrop>
  <LinksUpToDate>false</LinksUpToDate>
  <CharactersWithSpaces>3392</CharactersWithSpaces>
  <Application>WPS Office_12.1.0.29162_F1E327BC-269C-435d-A152-05C5408002CA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2026-10-15T04:06:00Z</dcterms:created>
  <dc:creator>Un-named</dc:creator>
  <cp:lastModifiedBy>Chiến Thắng Nguyễn</cp:lastModifiedBy>
  <dcterms:modified xsi:type="dcterms:W3CDTF">2026-10-15T04:17:15Z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eyJoZGlkIjoiMDY0MWYzMDUyODJlNTdjOWE2NmI5OGVlODAyNDU5NDYiLCJ1c2VySWQiOiIxMzc0NDEwNDE1ODY2In0=</vt:lpwstr>
  </property>
  <property fmtid="{D5CDD505-2E9C-101B-9397-08002B2CF9AE}" pid="3" name="KSOProductBuildVer">
    <vt:lpwstr>1033-12.1.0.29162</vt:lpwstr>
  </property>
  <property fmtid="{D5CDD505-2E9C-101B-9397-08002B2CF9AE}" pid="4" name="ICV">
    <vt:lpwstr>4A399D18C7374A2B98A6E0D08076C1C3_12</vt:lpwstr>
  </property>
</Properties>
</file>