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DCEE2F">
      <w:pPr>
        <w:spacing w:after="120" w:line="276" w:lineRule="auto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Câu trắc nghiệm đúng sai. Thí sinh trả lời từ câu 1 đến câu 8. Trong mỗi ý a), b), c), d) ở mỗi câu, thí sinh chọn đúng hoặc sai.</w:t>
      </w:r>
    </w:p>
    <w:p w14:paraId="49A1E894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Về hệ thống văn bản quy phạm pháp luật của Việt Nam:</w:t>
      </w:r>
    </w:p>
    <w:p w14:paraId="6C12610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Hiến pháp là văn bản có hiệu lực pháp lí cao nhất.</w:t>
      </w:r>
    </w:p>
    <w:p w14:paraId="7F51012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Nghị định là văn bản quy phạm pháp luật do Chính phủ ban hành.</w:t>
      </w:r>
    </w:p>
    <w:p w14:paraId="7A5C5F8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Luật là văn bản do Chủ tịch nước ban hành.</w:t>
      </w:r>
    </w:p>
    <w:p w14:paraId="0C35635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Văn bản quy phạm pháp luật trái với Hiến pháp vẫn có hiệu lực nếu được ban hành trước Hiến pháp.</w:t>
      </w:r>
    </w:p>
    <w:p w14:paraId="0E0BAFB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709CB4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mọi văn bản khác phải phù hợp với Hiến pháp.</w:t>
      </w:r>
    </w:p>
    <w:p w14:paraId="75227316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Đúng.</w:t>
      </w:r>
    </w:p>
    <w:p w14:paraId="141EDBF8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Luật do Quốc hội ban hành; Chủ tịch nước công bố luật.</w:t>
      </w:r>
    </w:p>
    <w:p w14:paraId="315F5A7D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văn bản trái Hiến pháp phải bị bãi bỏ, sửa đổi; không được áp dụng.</w:t>
      </w:r>
    </w:p>
    <w:p w14:paraId="347A2A4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Cho quy phạm: "Người nào điều khiển xe mô tô vượt đèn đỏ thì bị phạt tiền theo quy định."</w:t>
      </w:r>
    </w:p>
    <w:p w14:paraId="173941C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phận "Người nào điều khiển xe mô tô vượt đèn đỏ" là phần giả định.</w:t>
      </w:r>
    </w:p>
    <w:p w14:paraId="4D1BD9C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phận "thì bị phạt tiền theo quy định" là phần chế tài.</w:t>
      </w:r>
    </w:p>
    <w:p w14:paraId="7B2E0C9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Quy phạm pháp luật có tính bắt buộc chung đối với mọi chủ thể ở trong điều kiện mà nó dự liệu.</w:t>
      </w:r>
    </w:p>
    <w:p w14:paraId="6838056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Mọi quy phạm pháp luật đều phải được viết đầy đủ cả ba bộ phận giả định, quy định, chế tài trong cùng một điều luật.</w:t>
      </w:r>
    </w:p>
    <w:p w14:paraId="73C4B44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1042879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giả định nêu hoàn cảnh, điều kiện, chủ thể.</w:t>
      </w:r>
    </w:p>
    <w:p w14:paraId="1C7DFCE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chế tài nêu biện pháp tác động khi vi phạm.</w:t>
      </w:r>
    </w:p>
    <w:p w14:paraId="68512041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Đúng.</w:t>
      </w:r>
    </w:p>
    <w:p w14:paraId="3E1539C5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trong thực tế, một quy phạm có thể không thể hiện tường minh đủ ba bộ phận trong cùng một điều luật.</w:t>
      </w:r>
    </w:p>
    <w:p w14:paraId="165D31B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Theo Bộ luật Dân sự năm 2015:</w:t>
      </w:r>
    </w:p>
    <w:p w14:paraId="1DCD17F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Năng lực pháp luật dân sự của cá nhân có từ khi người đó sinh ra và chấm dứt khi người đó chết.</w:t>
      </w:r>
    </w:p>
    <w:p w14:paraId="0BDCE14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từ đủ 18 tuổi trở lên là người thành niên, có năng lực hành vi dân sự đầy đủ (trừ trường hợp luật định).</w:t>
      </w:r>
    </w:p>
    <w:p w14:paraId="4E2A284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chưa đủ 6 tuổi được tự mình xác lập, thực hiện mọi giao dịch dân sự.</w:t>
      </w:r>
    </w:p>
    <w:p w14:paraId="7CDF939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Năng lực hành vi dân sự của mọi cá nhân là như nhau.</w:t>
      </w:r>
    </w:p>
    <w:p w14:paraId="46D8352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3E774A6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theo Điều 16 Bộ luật Dân sự 2015.</w:t>
      </w:r>
    </w:p>
    <w:p w14:paraId="58A878DF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theo Điều 20, Điều 21.</w:t>
      </w:r>
    </w:p>
    <w:p w14:paraId="72B08FE6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giao dịch dân sự của người chưa đủ 6 tuổi do người đại diện theo pháp luật xác lập, thực hiện.</w:t>
      </w:r>
    </w:p>
    <w:p w14:paraId="0D5370E5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năng lực hành vi dân sự phụ thuộc độ tuổi, tình trạng nhận thức (khác với năng lực pháp luật dân sự là như nhau).</w:t>
      </w:r>
    </w:p>
    <w:p w14:paraId="2FC9C77E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Về vi phạm pháp luật và trách nhiệm pháp lí:</w:t>
      </w:r>
    </w:p>
    <w:p w14:paraId="107C610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 phạm pháp luật là hành vi trái pháp luật, có lỗi, do chủ thể có năng lực trách nhiệm pháp lí thực hiện.</w:t>
      </w:r>
    </w:p>
    <w:p w14:paraId="139FE0B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Cấu thành vi phạm pháp luật gồm: mặt khách quan, mặt chủ quan, chủ thể và khách thể.</w:t>
      </w:r>
    </w:p>
    <w:p w14:paraId="162BBD2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từ đủ 16 tuổi trở lên phải chịu trách nhiệm hình sự về mọi tội phạm, trừ những tội phạm mà Bộ luật Hình sự có quy định khác.</w:t>
      </w:r>
    </w:p>
    <w:p w14:paraId="2A341ED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Trách nhiệm kỉ luật được áp dụng đối với mọi công dân vi phạm luật giao thông đường bộ.</w:t>
      </w:r>
    </w:p>
    <w:p w14:paraId="1C8D2B0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71A4EFE7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đây là ba dấu hiệu cơ bản của vi phạm pháp luật.</w:t>
      </w:r>
    </w:p>
    <w:p w14:paraId="0C3C6E3A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Đúng.</w:t>
      </w:r>
    </w:p>
    <w:p w14:paraId="069B6A4B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Đúng: theo Điều 12 Bộ luật Hình sự 2015.</w:t>
      </w:r>
    </w:p>
    <w:p w14:paraId="38EA769E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vi phạm giao thông thường bị xử lí hành chính; trách nhiệm kỉ luật áp dụng trong quan hệ công vụ, lao động.</w:t>
      </w:r>
    </w:p>
    <w:p w14:paraId="4A49968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Theo Luật Hôn nhân và gia đình năm 2014:</w:t>
      </w:r>
    </w:p>
    <w:p w14:paraId="19AAED7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Nam từ đủ 20 tuổi trở lên, nữ từ đủ 18 tuổi trở lên được kết hôn (khi đáp ứng các điều kiện khác).</w:t>
      </w:r>
    </w:p>
    <w:p w14:paraId="405D0F8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Việc kết hôn phải được đăng kí tại cơ quan nhà nước có thẩm quyền.</w:t>
      </w:r>
    </w:p>
    <w:p w14:paraId="230D48D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đang có vợ hoặc có chồng được kết hôn với người khác nếu vợ hoặc chồng hiện tại đồng ý.</w:t>
      </w:r>
    </w:p>
    <w:p w14:paraId="45BAB48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Pháp luật cấm kết hôn giữa những người có họ trong phạm vi ba đời.</w:t>
      </w:r>
    </w:p>
    <w:p w14:paraId="3F23A83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6CF4415E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Điều 8.</w:t>
      </w:r>
    </w:p>
    <w:p w14:paraId="261091F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kết hôn không đăng kí thì không có giá trị pháp lí.</w:t>
      </w:r>
    </w:p>
    <w:p w14:paraId="2E39AAEA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đây là hành vi vi phạm chế độ một vợ một chồng, bị cấm.</w:t>
      </w:r>
    </w:p>
    <w:p w14:paraId="131FC0A3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Đúng: Điều 5.</w:t>
      </w:r>
    </w:p>
    <w:p w14:paraId="20D99348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Theo Bộ luật Lao động năm 2019:</w:t>
      </w:r>
    </w:p>
    <w:p w14:paraId="64FBA0B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Thời giờ làm việc bình thường không quá 8 giờ trong 01 ngày và không quá 48 giờ trong 01 tuần.</w:t>
      </w:r>
    </w:p>
    <w:p w14:paraId="2833B14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lao động có quyền đơn phương chấm dứt hợp đồng lao động theo quy định của pháp luật.</w:t>
      </w:r>
    </w:p>
    <w:p w14:paraId="17087DE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Hợp đồng lao động chỉ được giao kết bằng lời nói.</w:t>
      </w:r>
    </w:p>
    <w:p w14:paraId="348103C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lao động là người chưa thành niên được làm những công việc phù hợp, không thuộc danh mục bị cấm.</w:t>
      </w:r>
    </w:p>
    <w:p w14:paraId="69C0653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4C5ACBA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Điều 105.</w:t>
      </w:r>
    </w:p>
    <w:p w14:paraId="04E9E679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Điều 35 (phải báo trước, trừ một số trường hợp).</w:t>
      </w:r>
    </w:p>
    <w:p w14:paraId="6EF196C7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hợp đồng lao động phải giao kết bằng văn bản (hoặc phương tiện điện tử); chỉ một số trường hợp được giao kết bằng lời nói.</w:t>
      </w:r>
    </w:p>
    <w:p w14:paraId="11255534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Đúng: pháp luật bảo vệ lao động chưa thành niên, cấm các công việc nặng nhọc, độc hại.</w:t>
      </w:r>
    </w:p>
    <w:p w14:paraId="27B06C7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7. </w:t>
      </w:r>
      <w:r>
        <w:rPr>
          <w:rFonts w:ascii="Times New Roman" w:hAnsi="Times New Roman" w:eastAsia="Times New Roman" w:cs="Times New Roman"/>
          <w:sz w:val="24"/>
          <w:szCs w:val="24"/>
        </w:rPr>
        <w:t>Ông A qua đời không để lại di chúc. Tài sản riêng của ông A là 1,2 tỉ đồng. Thông tin về những người thân còn sống của ông A như sau:</w:t>
      </w:r>
    </w:p>
    <w:tbl>
      <w:tblPr>
        <w:tblStyle w:val="9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4"/>
        <w:gridCol w:w="3212"/>
        <w:gridCol w:w="3212"/>
      </w:tblGrid>
      <w:tr w14:paraId="64FF3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67B73C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Người thân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6B0E3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Quan hệ với ông A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D2793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14:paraId="71E7C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00254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Bà B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3FF193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Vợ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20A8A">
            <w:pPr>
              <w:spacing w:after="0" w:line="276" w:lineRule="auto"/>
              <w:jc w:val="center"/>
            </w:pPr>
          </w:p>
        </w:tc>
      </w:tr>
      <w:tr w14:paraId="087E2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E664E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Anh C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DDCE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Con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392BBB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 tuổi</w:t>
            </w:r>
          </w:p>
        </w:tc>
      </w:tr>
      <w:tr w14:paraId="159AE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D0670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Em D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AB20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Con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2BCEA4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 tuổi</w:t>
            </w:r>
          </w:p>
        </w:tc>
      </w:tr>
      <w:tr w14:paraId="3EAB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E3B718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Bà E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A8FE05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Mẹ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EBAB9">
            <w:pPr>
              <w:spacing w:after="0" w:line="276" w:lineRule="auto"/>
              <w:jc w:val="center"/>
            </w:pPr>
          </w:p>
        </w:tc>
      </w:tr>
      <w:tr w14:paraId="774D8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47F3A9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Ông F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08BA8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Anh ruột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986E4">
            <w:pPr>
              <w:spacing w:after="0" w:line="276" w:lineRule="auto"/>
              <w:jc w:val="center"/>
            </w:pPr>
          </w:p>
        </w:tc>
      </w:tr>
    </w:tbl>
    <w:p w14:paraId="37C272EC">
      <w:pPr>
        <w:spacing w:after="0" w:line="276" w:lineRule="auto"/>
      </w:pPr>
    </w:p>
    <w:p w14:paraId="3825F61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Di sản của ông A được chia theo pháp luật vì ông A không để lại di chúc.</w:t>
      </w:r>
    </w:p>
    <w:p w14:paraId="4C29564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Ông F thuộc hàng thừa kế thứ nhất của ông A.</w:t>
      </w:r>
    </w:p>
    <w:p w14:paraId="3C2B690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Mỗi người thừa kế ở hàng thứ nhất được hưởng 300 triệu đồng.</w:t>
      </w:r>
    </w:p>
    <w:p w14:paraId="5BF4165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Em D chưa thành niên nên không được hưởng di sản thừa kế.</w:t>
      </w:r>
    </w:p>
    <w:p w14:paraId="0AF7216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6EF1DD4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không có di chúc thì chia thừa kế theo pháp luật.</w:t>
      </w:r>
    </w:p>
    <w:p w14:paraId="42DFE03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Sai: anh ruột thuộc hàng thừa kế thứ hai.</w:t>
      </w:r>
    </w:p>
    <w:p w14:paraId="3767A514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c) Đúng: hàng thứ nhất gồm vợ, các con, cha mẹ đẻ: B, C, D, E (4 người); mỗi người hưởng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1 200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/>
          <w:rPr>
            <w:rFonts w:ascii="Cambria Math" w:hAnsi="Cambria Math"/>
            <w:sz w:val="24"/>
            <w:szCs w:val="24"/>
          </w:rPr>
          <m:t>300</m:t>
        </m:r>
      </m:oMath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 triệu đồng.</w:t>
      </w:r>
    </w:p>
    <w:p w14:paraId="0D02EBA4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Sai: người thừa kế không phụ thuộc độ tuổi; phần của D do người giám hộ/đại diện quản lí.</w:t>
      </w:r>
    </w:p>
    <w:p w14:paraId="4289D61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8. </w:t>
      </w:r>
      <w:r>
        <w:rPr>
          <w:rFonts w:ascii="Times New Roman" w:hAnsi="Times New Roman" w:eastAsia="Times New Roman" w:cs="Times New Roman"/>
          <w:sz w:val="24"/>
          <w:szCs w:val="24"/>
        </w:rPr>
        <w:t>Về bộ máy nhà nước Cộng hòa xã hội chủ nghĩa Việt Nam theo Hiến pháp:</w:t>
      </w:r>
    </w:p>
    <w:p w14:paraId="7CDA24B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Quốc hội là cơ quan đại biểu cao nhất của Nhân dân, cơ quan quyền lực nhà nước cao nhất.</w:t>
      </w:r>
    </w:p>
    <w:p w14:paraId="5F8EC2F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Chính phủ là cơ quan hành chính nhà nước cao nhất.</w:t>
      </w:r>
    </w:p>
    <w:p w14:paraId="38DDBBB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Tòa án nhân dân là cơ quan thực hành quyền công tố.</w:t>
      </w:r>
    </w:p>
    <w:p w14:paraId="30FAEC3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Chủ tịch nước là người đứng đầu Nhà nước, thay mặt nước Cộng hòa xã hội chủ nghĩa Việt Nam về đối nội và đối ngoại.</w:t>
      </w:r>
    </w:p>
    <w:p w14:paraId="62DDD50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>Lời giải:</w:t>
      </w:r>
    </w:p>
    <w:p w14:paraId="0FCEB222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a) Đúng: Điều 69 Hiến pháp.</w:t>
      </w:r>
    </w:p>
    <w:p w14:paraId="17FB9A8D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b) Đúng: Điều 94.</w:t>
      </w:r>
    </w:p>
    <w:p w14:paraId="50920D01">
      <w:pPr>
        <w:spacing w:after="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c) Sai: Viện kiểm sát nhân dân thực hành quyền công tố, kiểm sát hoạt động tư pháp; Tòa án thực hiện quyền tư pháp (xét xử).</w:t>
      </w:r>
    </w:p>
    <w:p w14:paraId="081B650B">
      <w:pPr>
        <w:spacing w:after="120" w:line="276" w:lineRule="auto"/>
        <w:ind w:left="280"/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>d) Đúng: Điều 86.</w:t>
      </w: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72780D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Footnote Text Char"/>
    <w:link w:val="13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1237</Words>
  <Characters>4199</Characters>
  <TotalTime>0</TotalTime>
  <ScaleCrop>false</ScaleCrop>
  <LinksUpToDate>false</LinksUpToDate>
  <CharactersWithSpaces>5340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2026-10-15T04:06:00Z</dcterms:created>
  <dc:creator>Un-named</dc:creator>
  <cp:lastModifiedBy>Chiến Thắng Nguyễn</cp:lastModifiedBy>
  <dcterms:modified xsi:type="dcterms:W3CDTF">2026-10-15T04:17:06Z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eyJoZGlkIjoiMDY0MWYzMDUyODJlNTdjOWE2NmI5OGVlODAyNDU5NDYiLCJ1c2VySWQiOiIxMzc0NDEwNDE1ODY2In0=</vt:lpwstr>
  </property>
  <property fmtid="{D5CDD505-2E9C-101B-9397-08002B2CF9AE}" pid="3" name="KSOProductBuildVer">
    <vt:lpwstr>1033-12.1.0.29162</vt:lpwstr>
  </property>
  <property fmtid="{D5CDD505-2E9C-101B-9397-08002B2CF9AE}" pid="4" name="ICV">
    <vt:lpwstr>FA620D3FC2D04E17A58D014AB97ED759_12</vt:lpwstr>
  </property>
</Properties>
</file>